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Образовательный минимум           </w:t>
      </w:r>
    </w:p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 </w:t>
      </w:r>
    </w:p>
    <w:tbl>
      <w:tblPr>
        <w:tblW w:w="4680" w:type="dxa"/>
        <w:jc w:val="right"/>
        <w:tblCellSpacing w:w="0" w:type="dxa"/>
        <w:shd w:val="clear" w:color="auto" w:fill="FFFFFF"/>
        <w:tblLook w:val="04A0"/>
      </w:tblPr>
      <w:tblGrid>
        <w:gridCol w:w="2174"/>
        <w:gridCol w:w="2506"/>
      </w:tblGrid>
      <w:tr w:rsidR="00A64EA0" w:rsidTr="00A64EA0">
        <w:trPr>
          <w:trHeight w:val="10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EA0" w:rsidRDefault="00FC1B2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EA0" w:rsidRDefault="00FC1B2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64EA0" w:rsidTr="00A64EA0">
        <w:trPr>
          <w:trHeight w:val="13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EA0" w:rsidRDefault="00A64EA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EA0" w:rsidRDefault="00A64EA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A64EA0" w:rsidTr="00A64EA0">
        <w:trPr>
          <w:trHeight w:val="13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EA0" w:rsidRDefault="00A64EA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EA0" w:rsidRDefault="00A64EA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color w:val="000000"/>
        </w:rPr>
      </w:pPr>
    </w:p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rStyle w:val="s2"/>
          <w:b/>
          <w:bCs/>
          <w:color w:val="000000"/>
          <w:u w:val="single"/>
        </w:rPr>
        <w:t xml:space="preserve">Тема №1. Знаки препинания при однородных членах предложения 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>
        <w:rPr>
          <w:rStyle w:val="s1"/>
          <w:b/>
          <w:bCs/>
          <w:color w:val="000000"/>
        </w:rPr>
        <w:t>. Однородные члены предложения разделяются запятой, если</w:t>
      </w:r>
    </w:p>
    <w:p w:rsidR="00A64EA0" w:rsidRDefault="00A64EA0" w:rsidP="00A64EA0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соединены</w:t>
      </w:r>
      <w:proofErr w:type="gramEnd"/>
      <w:r>
        <w:rPr>
          <w:color w:val="000000"/>
        </w:rPr>
        <w:t xml:space="preserve"> бессоюзной связью</w:t>
      </w:r>
    </w:p>
    <w:p w:rsidR="00A64EA0" w:rsidRDefault="00A64EA0" w:rsidP="00A64EA0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соединены</w:t>
      </w:r>
      <w:proofErr w:type="gramEnd"/>
      <w:r>
        <w:rPr>
          <w:color w:val="000000"/>
        </w:rPr>
        <w:t xml:space="preserve"> повторяющимися союзами</w:t>
      </w:r>
    </w:p>
    <w:p w:rsidR="00A64EA0" w:rsidRDefault="00A64EA0" w:rsidP="00A64EA0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соединены</w:t>
      </w:r>
      <w:proofErr w:type="gramEnd"/>
      <w:r>
        <w:rPr>
          <w:color w:val="000000"/>
        </w:rPr>
        <w:t xml:space="preserve"> противительными союзами</w:t>
      </w:r>
    </w:p>
    <w:p w:rsidR="00A64EA0" w:rsidRDefault="00A64EA0" w:rsidP="00A64EA0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перед второй частью сложного союза</w:t>
      </w:r>
    </w:p>
    <w:p w:rsidR="00A64EA0" w:rsidRDefault="00A64EA0" w:rsidP="00A64EA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Однородные члены предложения не разделяются запятой, если</w:t>
      </w:r>
    </w:p>
    <w:p w:rsidR="00A64EA0" w:rsidRDefault="00A64EA0" w:rsidP="00A64EA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соединены одиночными союзами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, ИЛИ, ЛИБО</w:t>
      </w:r>
    </w:p>
    <w:p w:rsidR="00A64EA0" w:rsidRDefault="00A64EA0" w:rsidP="00A64EA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устойчивых выражениях</w:t>
      </w:r>
    </w:p>
    <w:p w:rsidR="00A64EA0" w:rsidRDefault="00A64EA0" w:rsidP="00A64EA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внутри пар однородных членов</w:t>
      </w:r>
    </w:p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u w:val="single"/>
        </w:rPr>
      </w:pPr>
    </w:p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A64EA0" w:rsidRDefault="00A64EA0" w:rsidP="00A64EA0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rStyle w:val="s2"/>
          <w:b/>
          <w:bCs/>
          <w:color w:val="000000"/>
          <w:u w:val="single"/>
        </w:rPr>
        <w:t>Тема №2. Обособление определений и приложений</w:t>
      </w:r>
    </w:p>
    <w:p w:rsidR="00A64EA0" w:rsidRDefault="00A64EA0" w:rsidP="00A64EA0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Согласованные определения и приложения обособляются,</w:t>
      </w:r>
    </w:p>
    <w:p w:rsidR="00A64EA0" w:rsidRDefault="00A64EA0" w:rsidP="00A64EA0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относятся к личному местоимению;</w:t>
      </w:r>
    </w:p>
    <w:p w:rsidR="00A64EA0" w:rsidRDefault="00A64EA0" w:rsidP="00A64EA0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стоят после определяемого существительного;</w:t>
      </w:r>
    </w:p>
    <w:p w:rsidR="00A64EA0" w:rsidRDefault="00A64EA0" w:rsidP="00A64EA0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имеют добавочное обстоятельственное значение причины или уступки.</w:t>
      </w:r>
    </w:p>
    <w:p w:rsidR="00A64EA0" w:rsidRDefault="00A64EA0" w:rsidP="00A64EA0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Одиночное приложение, стоящее после определяемого слова, пишется через дефис.</w:t>
      </w:r>
    </w:p>
    <w:p w:rsidR="00A64EA0" w:rsidRDefault="00A64EA0" w:rsidP="00A64EA0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u w:val="single"/>
        </w:rPr>
      </w:pPr>
    </w:p>
    <w:p w:rsidR="00A64EA0" w:rsidRDefault="00A64EA0" w:rsidP="00A64EA0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A64EA0" w:rsidRDefault="00A64EA0" w:rsidP="00A64EA0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rStyle w:val="s2"/>
          <w:b/>
          <w:bCs/>
          <w:color w:val="000000"/>
          <w:u w:val="single"/>
        </w:rPr>
        <w:t>Тема №3. Обособление обстоятельств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Всегда обособляются обстоятельства: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 - если они выражены деепричастными оборотами и одиночными деепричастиями.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- если выражены существительными с </w:t>
      </w:r>
      <w:proofErr w:type="gramStart"/>
      <w:r>
        <w:rPr>
          <w:color w:val="000000"/>
        </w:rPr>
        <w:t>предлогами</w:t>
      </w:r>
      <w:proofErr w:type="gramEnd"/>
      <w:r>
        <w:rPr>
          <w:color w:val="000000"/>
        </w:rPr>
        <w:t xml:space="preserve"> НЕСМОТРЯ НА, НЕВЗИРАЯ НА.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Не обособляются: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1.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Одиночные деепричастия, близкие по значению к наречиям образа действия.</w:t>
      </w:r>
    </w:p>
    <w:p w:rsidR="00A64EA0" w:rsidRDefault="00A64EA0" w:rsidP="00A64EA0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2.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Фразеологические сочетания, в состав которых входят деепричастия.</w:t>
      </w:r>
    </w:p>
    <w:p w:rsidR="00A64EA0" w:rsidRDefault="00A64EA0" w:rsidP="00A64EA0">
      <w:pPr>
        <w:pStyle w:val="p1"/>
        <w:shd w:val="clear" w:color="auto" w:fill="FFFFFF"/>
        <w:jc w:val="both"/>
        <w:rPr>
          <w:color w:val="000000"/>
          <w:u w:val="single"/>
        </w:rPr>
      </w:pPr>
      <w:r>
        <w:rPr>
          <w:rStyle w:val="s1"/>
          <w:b/>
          <w:bCs/>
          <w:color w:val="000000"/>
          <w:u w:val="single"/>
        </w:rPr>
        <w:t>Тема № 4 – «Сложное предложение»</w:t>
      </w:r>
    </w:p>
    <w:p w:rsidR="00A64EA0" w:rsidRDefault="00A64EA0" w:rsidP="00A64EA0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1.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rStyle w:val="s3"/>
          <w:i/>
          <w:iCs/>
          <w:color w:val="000000"/>
          <w:u w:val="single"/>
        </w:rPr>
        <w:t>Запятая в сложносочиненном предложении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 на границе простых предложений (чаще всего перед сочинительным союзом или перед второй его частью) и НЕ ставится, если есть общий второстепенный член.</w:t>
      </w:r>
    </w:p>
    <w:p w:rsidR="00A64EA0" w:rsidRDefault="00A64EA0" w:rsidP="00A64EA0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color w:val="000000"/>
        </w:rPr>
        <w:t xml:space="preserve"> 2. </w:t>
      </w:r>
      <w:r>
        <w:rPr>
          <w:rStyle w:val="s3"/>
          <w:color w:val="000000"/>
          <w:u w:val="single"/>
        </w:rPr>
        <w:t xml:space="preserve">Запятая в </w:t>
      </w:r>
      <w:r>
        <w:rPr>
          <w:color w:val="000000"/>
          <w:u w:val="single"/>
        </w:rPr>
        <w:t>сложноподчиненном</w:t>
      </w:r>
      <w:r>
        <w:rPr>
          <w:rStyle w:val="s3"/>
          <w:color w:val="000000"/>
          <w:u w:val="single"/>
        </w:rPr>
        <w:t xml:space="preserve"> предложении (в том числе с несколькими придаточными) и в сложной синтаксической конструкции ставится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границах простых предложений и </w:t>
      </w:r>
      <w:r>
        <w:rPr>
          <w:rStyle w:val="s3"/>
          <w:color w:val="000000"/>
          <w:u w:val="single"/>
        </w:rPr>
        <w:t xml:space="preserve">НЕ ставится: </w:t>
      </w:r>
    </w:p>
    <w:p w:rsidR="00A64EA0" w:rsidRDefault="00A64EA0" w:rsidP="00A64EA0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1)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color w:val="000000"/>
        </w:rPr>
        <w:t>на стыке двух союзов, если далее идет вторая часть союза – «то», «так», «но»;</w:t>
      </w:r>
    </w:p>
    <w:p w:rsidR="00A64EA0" w:rsidRDefault="00A64EA0" w:rsidP="00A64EA0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2)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color w:val="000000"/>
        </w:rPr>
        <w:t>между двумя однородными придаточными, если они соединены одиночными союзами «и», «или», «либо».</w:t>
      </w:r>
    </w:p>
    <w:p w:rsidR="00A64EA0" w:rsidRDefault="00A64EA0" w:rsidP="00A64EA0"/>
    <w:p w:rsidR="00EA44A8" w:rsidRDefault="00EA44A8"/>
    <w:sectPr w:rsidR="00EA44A8" w:rsidSect="00F5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64EA0"/>
    <w:rsid w:val="00A64EA0"/>
    <w:rsid w:val="00EA44A8"/>
    <w:rsid w:val="00F56B9D"/>
    <w:rsid w:val="00F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64EA0"/>
  </w:style>
  <w:style w:type="character" w:customStyle="1" w:styleId="s2">
    <w:name w:val="s2"/>
    <w:basedOn w:val="a0"/>
    <w:rsid w:val="00A64EA0"/>
  </w:style>
  <w:style w:type="character" w:customStyle="1" w:styleId="apple-converted-space">
    <w:name w:val="apple-converted-space"/>
    <w:basedOn w:val="a0"/>
    <w:rsid w:val="00A64EA0"/>
  </w:style>
  <w:style w:type="character" w:customStyle="1" w:styleId="s3">
    <w:name w:val="s3"/>
    <w:basedOn w:val="a0"/>
    <w:rsid w:val="00A6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2016-04-18T07:58:00Z</dcterms:created>
  <dcterms:modified xsi:type="dcterms:W3CDTF">2016-04-18T08:17:00Z</dcterms:modified>
</cp:coreProperties>
</file>